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600" w:lineRule="atLeast"/>
        <w:jc w:val="center"/>
        <w:outlineLvl w:val="1"/>
        <w:rPr>
          <w:rFonts w:ascii="黑体" w:hAnsi="黑体" w:eastAsia="黑体" w:cs="宋体"/>
          <w:b/>
          <w:bCs/>
          <w:color w:val="040404"/>
          <w:kern w:val="0"/>
          <w:sz w:val="36"/>
          <w:szCs w:val="24"/>
        </w:rPr>
      </w:pPr>
      <w:r>
        <w:rPr>
          <w:rFonts w:ascii="黑体" w:hAnsi="黑体" w:eastAsia="黑体" w:cs="宋体"/>
          <w:b/>
          <w:bCs/>
          <w:color w:val="040404"/>
          <w:kern w:val="0"/>
          <w:sz w:val="36"/>
          <w:szCs w:val="24"/>
        </w:rPr>
        <w:t>关于加强党建活动经费使用管理的规定</w:t>
      </w:r>
    </w:p>
    <w:p>
      <w:pPr>
        <w:widowControl/>
        <w:shd w:val="clear" w:color="auto" w:fill="FFFFFF"/>
        <w:spacing w:line="600" w:lineRule="atLeast"/>
        <w:jc w:val="center"/>
        <w:outlineLvl w:val="1"/>
        <w:rPr>
          <w:rFonts w:hint="eastAsia" w:ascii="宋体" w:hAnsi="宋体" w:eastAsia="宋体" w:cs="宋体"/>
          <w:b/>
          <w:bCs/>
          <w:color w:val="040404"/>
          <w:kern w:val="0"/>
          <w:sz w:val="24"/>
          <w:szCs w:val="24"/>
        </w:rPr>
      </w:pPr>
    </w:p>
    <w:p>
      <w:pPr>
        <w:pStyle w:val="3"/>
        <w:shd w:val="clear" w:color="auto" w:fill="FFFFFF"/>
        <w:wordWrap w:val="0"/>
        <w:spacing w:before="0" w:beforeAutospacing="0" w:after="0" w:afterAutospacing="0" w:line="705" w:lineRule="atLeast"/>
        <w:jc w:val="center"/>
        <w:rPr>
          <w:rFonts w:ascii="Arial" w:hAnsi="Arial" w:cs="Arial"/>
          <w:color w:val="040404"/>
          <w:sz w:val="27"/>
          <w:szCs w:val="27"/>
        </w:rPr>
      </w:pPr>
      <w:r>
        <w:rPr>
          <w:rFonts w:hint="eastAsia" w:cs="Arial"/>
          <w:color w:val="040404"/>
          <w:sz w:val="32"/>
          <w:szCs w:val="32"/>
        </w:rPr>
        <w:t>浙大计发〔2018〕1号</w:t>
      </w:r>
    </w:p>
    <w:p>
      <w:pPr>
        <w:pStyle w:val="3"/>
        <w:shd w:val="clear" w:color="auto" w:fill="FFFFFF"/>
        <w:wordWrap w:val="0"/>
        <w:spacing w:before="0" w:beforeAutospacing="0" w:after="0" w:afterAutospacing="0" w:line="600" w:lineRule="atLeast"/>
        <w:jc w:val="center"/>
        <w:rPr>
          <w:rFonts w:ascii="Arial" w:hAnsi="Arial" w:cs="Arial"/>
          <w:color w:val="040404"/>
          <w:sz w:val="27"/>
          <w:szCs w:val="27"/>
        </w:rPr>
      </w:pPr>
      <w:r>
        <w:rPr>
          <w:rFonts w:ascii="Arial" w:hAnsi="Arial" w:cs="Arial"/>
          <w:color w:val="040404"/>
          <w:sz w:val="32"/>
          <w:szCs w:val="32"/>
        </w:rPr>
        <w:t> </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为进一步加强学校基层党组织建设，推进“两学一做”学习教育常态化制度化，规范党建活动经费使用管理，根据《中央和国家机关基层党组织党建活动经费管理办法》（财行〔2017〕324号），结合学校党建工作实际情况，制定本规定。</w:t>
      </w:r>
    </w:p>
    <w:p>
      <w:pPr>
        <w:pStyle w:val="3"/>
        <w:shd w:val="clear" w:color="auto" w:fill="FFFFFF"/>
        <w:wordWrap w:val="0"/>
        <w:spacing w:before="0" w:beforeAutospacing="0" w:after="0" w:afterAutospacing="0" w:line="600" w:lineRule="atLeast"/>
        <w:rPr>
          <w:rFonts w:ascii="Arial" w:hAnsi="Arial" w:cs="Arial"/>
          <w:color w:val="040404"/>
          <w:sz w:val="27"/>
          <w:szCs w:val="27"/>
        </w:rPr>
      </w:pPr>
      <w:r>
        <w:rPr>
          <w:rFonts w:ascii="Arial" w:hAnsi="Arial" w:cs="Arial"/>
          <w:color w:val="040404"/>
          <w:sz w:val="32"/>
          <w:szCs w:val="32"/>
        </w:rPr>
        <w:t>  </w:t>
      </w:r>
      <w:r>
        <w:rPr>
          <w:rStyle w:val="7"/>
          <w:rFonts w:ascii="Arial" w:hAnsi="Arial" w:cs="Arial"/>
          <w:color w:val="040404"/>
          <w:sz w:val="32"/>
          <w:szCs w:val="32"/>
        </w:rPr>
        <w:t> </w:t>
      </w:r>
      <w:r>
        <w:rPr>
          <w:rFonts w:ascii="Calibri" w:hAnsi="Calibri" w:eastAsia="黑体" w:cs="Calibri"/>
          <w:color w:val="040404"/>
          <w:sz w:val="32"/>
          <w:szCs w:val="32"/>
        </w:rPr>
        <w:t> </w:t>
      </w:r>
      <w:r>
        <w:rPr>
          <w:rFonts w:hint="eastAsia" w:ascii="黑体" w:hAnsi="黑体" w:eastAsia="黑体" w:cs="Arial"/>
          <w:color w:val="040404"/>
          <w:sz w:val="32"/>
          <w:szCs w:val="32"/>
        </w:rPr>
        <w:t>第一条</w:t>
      </w:r>
      <w:r>
        <w:rPr>
          <w:rStyle w:val="7"/>
          <w:rFonts w:ascii="Calibri" w:hAnsi="Calibri" w:eastAsia="黑体" w:cs="Calibri"/>
          <w:color w:val="040404"/>
          <w:sz w:val="32"/>
          <w:szCs w:val="32"/>
        </w:rPr>
        <w:t> </w:t>
      </w:r>
      <w:r>
        <w:rPr>
          <w:rFonts w:hint="eastAsia" w:ascii="仿宋_GB2312" w:eastAsia="仿宋_GB2312" w:cs="Arial"/>
          <w:color w:val="040404"/>
          <w:sz w:val="32"/>
          <w:szCs w:val="32"/>
        </w:rPr>
        <w:t> </w:t>
      </w:r>
      <w:r>
        <w:rPr>
          <w:rFonts w:hint="eastAsia" w:cs="Arial"/>
          <w:color w:val="040404"/>
          <w:sz w:val="32"/>
          <w:szCs w:val="32"/>
        </w:rPr>
        <w:t>党建活动，是指基层党组织开展的“三会一课”、主题党日活动、党员和入党积极分子教育培训、学习调研等活动。</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hint="eastAsia" w:ascii="黑体" w:hAnsi="黑体" w:eastAsia="黑体" w:cs="Arial"/>
          <w:color w:val="040404"/>
          <w:sz w:val="32"/>
          <w:szCs w:val="32"/>
        </w:rPr>
        <w:t>第二条</w:t>
      </w:r>
      <w:r>
        <w:rPr>
          <w:rFonts w:hint="eastAsia" w:cs="Arial"/>
          <w:color w:val="040404"/>
          <w:sz w:val="32"/>
          <w:szCs w:val="32"/>
        </w:rPr>
        <w:t>学校设立的党建活动经费，是由党委组织部根据全校基层党组织机构数量、党员人数等因素测算，提出年度党建活动经费预算申请。党建活动经费在学校批准的预算额度内使用。</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hint="eastAsia" w:ascii="黑体" w:hAnsi="黑体" w:eastAsia="黑体" w:cs="Arial"/>
          <w:color w:val="040404"/>
          <w:sz w:val="32"/>
          <w:szCs w:val="32"/>
        </w:rPr>
        <w:t>第三条</w:t>
      </w:r>
      <w:r>
        <w:rPr>
          <w:rFonts w:hint="eastAsia" w:cs="Arial"/>
          <w:color w:val="040404"/>
          <w:sz w:val="32"/>
          <w:szCs w:val="32"/>
        </w:rPr>
        <w:t> 各基层党组织开展党建活动，必须坚持厉行节约、反对浪费的原则，结合党建工作要求和工作实际，加强经费管理。</w:t>
      </w:r>
    </w:p>
    <w:p>
      <w:pPr>
        <w:pStyle w:val="3"/>
        <w:shd w:val="clear" w:color="auto" w:fill="FFFFFF"/>
        <w:wordWrap w:val="0"/>
        <w:spacing w:before="0" w:beforeAutospacing="0" w:after="0" w:afterAutospacing="0" w:line="600" w:lineRule="atLeast"/>
        <w:ind w:left="420" w:firstLine="165"/>
        <w:rPr>
          <w:rFonts w:ascii="Arial" w:hAnsi="Arial" w:cs="Arial"/>
          <w:color w:val="040404"/>
          <w:sz w:val="27"/>
          <w:szCs w:val="27"/>
        </w:rPr>
      </w:pPr>
      <w:r>
        <w:rPr>
          <w:rFonts w:hint="eastAsia" w:ascii="黑体" w:hAnsi="黑体" w:eastAsia="黑体" w:cs="Arial"/>
          <w:color w:val="040404"/>
          <w:sz w:val="32"/>
          <w:szCs w:val="32"/>
        </w:rPr>
        <w:t>第四条</w:t>
      </w:r>
      <w:r>
        <w:rPr>
          <w:rFonts w:hint="eastAsia" w:ascii="仿宋_GB2312" w:eastAsia="仿宋_GB2312" w:cs="Arial"/>
          <w:color w:val="040404"/>
          <w:sz w:val="32"/>
          <w:szCs w:val="32"/>
        </w:rPr>
        <w:t>  </w:t>
      </w:r>
      <w:r>
        <w:rPr>
          <w:rFonts w:hint="eastAsia" w:cs="Arial"/>
          <w:color w:val="040404"/>
          <w:sz w:val="32"/>
          <w:szCs w:val="32"/>
        </w:rPr>
        <w:t>党建活动经费开支范围和标准</w:t>
      </w:r>
    </w:p>
    <w:p>
      <w:pPr>
        <w:pStyle w:val="3"/>
        <w:shd w:val="clear" w:color="auto" w:fill="FFFFFF"/>
        <w:wordWrap w:val="0"/>
        <w:spacing w:before="0" w:beforeAutospacing="0" w:after="0" w:afterAutospacing="0" w:line="600" w:lineRule="atLeast"/>
        <w:ind w:firstLine="795"/>
        <w:rPr>
          <w:rFonts w:ascii="Arial" w:hAnsi="Arial" w:cs="Arial"/>
          <w:color w:val="040404"/>
          <w:sz w:val="27"/>
          <w:szCs w:val="27"/>
        </w:rPr>
      </w:pPr>
      <w:r>
        <w:rPr>
          <w:rFonts w:ascii="Arial" w:hAnsi="Arial" w:cs="Arial"/>
          <w:color w:val="040404"/>
          <w:sz w:val="32"/>
          <w:szCs w:val="32"/>
        </w:rPr>
        <w:t>（一）开支范围</w:t>
      </w:r>
    </w:p>
    <w:p>
      <w:pPr>
        <w:pStyle w:val="3"/>
        <w:shd w:val="clear" w:color="auto" w:fill="FFFFFF"/>
        <w:wordWrap w:val="0"/>
        <w:spacing w:before="0" w:beforeAutospacing="0" w:after="0" w:afterAutospacing="0" w:line="600" w:lineRule="atLeast"/>
        <w:ind w:firstLine="795"/>
        <w:rPr>
          <w:rFonts w:ascii="Arial" w:hAnsi="Arial" w:cs="Arial"/>
          <w:color w:val="040404"/>
          <w:sz w:val="27"/>
          <w:szCs w:val="27"/>
        </w:rPr>
      </w:pPr>
      <w:r>
        <w:rPr>
          <w:rFonts w:ascii="Arial" w:hAnsi="Arial" w:cs="Arial"/>
          <w:color w:val="040404"/>
          <w:sz w:val="32"/>
          <w:szCs w:val="32"/>
        </w:rPr>
        <w:t>党建活动经费支出项目包括：租车费、城市间交通费、伙食费、住宿费、场租费、讲课费、资料费和其他费用。</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1.租车费是指开展党建活动需集体出行发生的租车费用。</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2.城市间交通费是指到常驻地以外开展党建活动发生的城市间交通支出。</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3.伙食费是指开展党建活动期间发生的用餐费用。</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4.住宿费是指开展党建活动期间发生的租住房间的费用。</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5.场租费是指用于党建活动的会议室、活动场地租金。</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6.讲课费是指聘请师资为党员授课所支付的费用。</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7.资料费是指为党员学习教育集中购买的培训资料费用。</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（二） 开支标准</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highlight w:val="none"/>
        </w:rPr>
      </w:pPr>
      <w:bookmarkStart w:id="0" w:name="_GoBack"/>
      <w:bookmarkEnd w:id="0"/>
      <w:r>
        <w:rPr>
          <w:rFonts w:ascii="Arial" w:hAnsi="Arial" w:cs="Arial"/>
          <w:color w:val="040404"/>
          <w:sz w:val="32"/>
          <w:szCs w:val="32"/>
        </w:rPr>
        <w:t>1.城市间交通费、住宿费，按照</w:t>
      </w:r>
      <w:r>
        <w:rPr>
          <w:rFonts w:ascii="Arial" w:hAnsi="Arial" w:cs="Arial"/>
          <w:color w:val="000000"/>
          <w:sz w:val="32"/>
          <w:szCs w:val="32"/>
        </w:rPr>
        <w:t>《浙江大学国内差旅费管理办法》(</w:t>
      </w:r>
      <w:r>
        <w:rPr>
          <w:rFonts w:ascii="Arial" w:hAnsi="Arial" w:cs="Arial"/>
          <w:color w:val="040404"/>
          <w:sz w:val="32"/>
          <w:szCs w:val="32"/>
        </w:rPr>
        <w:t>浙大发计〔2017〕13</w:t>
      </w:r>
      <w:r>
        <w:rPr>
          <w:rStyle w:val="7"/>
          <w:rFonts w:ascii="Arial" w:hAnsi="Arial" w:cs="Arial"/>
          <w:color w:val="040404"/>
          <w:sz w:val="32"/>
          <w:szCs w:val="32"/>
        </w:rPr>
        <w:t> </w:t>
      </w:r>
      <w:r>
        <w:rPr>
          <w:rFonts w:ascii="Arial" w:hAnsi="Arial" w:cs="Arial"/>
          <w:color w:val="040404"/>
          <w:sz w:val="32"/>
          <w:szCs w:val="32"/>
        </w:rPr>
        <w:t>号)规定标准执行；</w:t>
      </w:r>
      <w:r>
        <w:rPr>
          <w:rFonts w:ascii="Arial" w:hAnsi="Arial" w:cs="Arial"/>
          <w:color w:val="040404"/>
          <w:sz w:val="32"/>
          <w:szCs w:val="32"/>
          <w:highlight w:val="none"/>
        </w:rPr>
        <w:t>个人不得领取交通补助。</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2.伙食费，按照</w:t>
      </w:r>
      <w:r>
        <w:rPr>
          <w:rFonts w:ascii="Arial" w:hAnsi="Arial" w:cs="Arial"/>
          <w:color w:val="000000"/>
          <w:sz w:val="32"/>
          <w:szCs w:val="32"/>
        </w:rPr>
        <w:t>《浙江大学国内差旅费管理办法》(</w:t>
      </w:r>
      <w:r>
        <w:rPr>
          <w:rFonts w:ascii="Arial" w:hAnsi="Arial" w:cs="Arial"/>
          <w:color w:val="040404"/>
          <w:sz w:val="32"/>
          <w:szCs w:val="32"/>
        </w:rPr>
        <w:t>浙大发计〔2017〕13</w:t>
      </w:r>
      <w:r>
        <w:rPr>
          <w:rStyle w:val="7"/>
          <w:rFonts w:ascii="Arial" w:hAnsi="Arial" w:cs="Arial"/>
          <w:color w:val="040404"/>
          <w:sz w:val="32"/>
          <w:szCs w:val="32"/>
        </w:rPr>
        <w:t> </w:t>
      </w:r>
      <w:r>
        <w:rPr>
          <w:rFonts w:ascii="Arial" w:hAnsi="Arial" w:cs="Arial"/>
          <w:color w:val="040404"/>
          <w:sz w:val="32"/>
          <w:szCs w:val="32"/>
        </w:rPr>
        <w:t>号)规定，在伙食补助费标准内据实报销；一天仅一次就餐的，人均伙食费不超过40元；个人不得领取伙食补助。</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3.讲课费，参照中央和国家机关培训费有关标准执行。</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4.租车费，大巴士（25座以上）每辆每天不超过1500元，中巴士（25座及以下）每辆每天不超过1000元；租车到常驻地以外的，租车费可以适当增加。</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5.场租费，每半天人均不得超过50元。</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6.资料费据实报销。</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7.</w:t>
      </w:r>
      <w:r>
        <w:rPr>
          <w:rStyle w:val="7"/>
          <w:rFonts w:ascii="Arial" w:hAnsi="Arial" w:cs="Arial"/>
          <w:color w:val="040404"/>
          <w:sz w:val="32"/>
          <w:szCs w:val="32"/>
        </w:rPr>
        <w:t> </w:t>
      </w:r>
      <w:r>
        <w:rPr>
          <w:rFonts w:ascii="Arial" w:hAnsi="Arial" w:cs="Arial"/>
          <w:color w:val="040404"/>
          <w:sz w:val="32"/>
          <w:szCs w:val="32"/>
        </w:rPr>
        <w:t>其他有关费用经批准后据实报销。</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hint="eastAsia" w:ascii="黑体" w:hAnsi="黑体" w:eastAsia="黑体" w:cs="Arial"/>
          <w:color w:val="040404"/>
          <w:sz w:val="32"/>
          <w:szCs w:val="32"/>
        </w:rPr>
        <w:t>第五条</w:t>
      </w:r>
      <w:r>
        <w:rPr>
          <w:rFonts w:hint="eastAsia" w:cs="Arial"/>
          <w:color w:val="040404"/>
          <w:sz w:val="32"/>
          <w:szCs w:val="32"/>
        </w:rPr>
        <w:t> 党建活动组织形式</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（一）开展党建活动，应充分发挥党员的主体作用，必须自行组织，不得将活动组织委托给旅行社等其他单位。</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（二）开展党建活动，要因地制宜，每个基层党组织到常驻地以外开展党建活动原则上每两年不超过一次；要严格控制租用校外场地举办活动，确需租用的，应选择安全、经济、便捷的场地。</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（三）开展党建活动，要根据实际情况集体出行。集体出行确需租用车辆的，应当视人数多少租用大巴车或中巴车，不得租用轿车（5座及以下）。到常驻地以外开展党建活动，一般不得乘坐飞机。</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（四）开展党建活动，要严格遵守中央八项规定精神，严格执行廉洁自律各项规定。</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五）严禁借党建活动名义安排公款旅游；严禁到党中央、国务院明令禁止的风景名胜区开展党建活动；严禁借党建活动名义组织会餐或安排宴请；严禁组织高消费娱乐健身活动；严禁购置电脑、复印机、打印机、传真机等固定资产以及开支与党建活动无关的其他费用；严禁套取资金设立“小金库”；严禁发放任何形式的个人补助；严禁转嫁党建活动费用。</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hint="eastAsia" w:ascii="黑体" w:hAnsi="黑体" w:eastAsia="黑体" w:cs="Arial"/>
          <w:color w:val="040404"/>
          <w:sz w:val="32"/>
          <w:szCs w:val="32"/>
        </w:rPr>
        <w:t>第六条</w:t>
      </w:r>
      <w:r>
        <w:rPr>
          <w:rFonts w:hint="eastAsia" w:cs="Arial"/>
          <w:color w:val="040404"/>
          <w:sz w:val="32"/>
          <w:szCs w:val="32"/>
        </w:rPr>
        <w:t> 党建活动经费报销结算</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（一）报销党建活动费用时，需填写《浙江大学党建活动经费报销单》，提供党建活动相关材料。</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（二）报销党建活动费用应履行审批手续，由所在基层党组织主要负责人审批，并加盖党组织公章。</w:t>
      </w:r>
    </w:p>
    <w:p>
      <w:pPr>
        <w:pStyle w:val="3"/>
        <w:shd w:val="clear" w:color="auto" w:fill="FFFFFF"/>
        <w:wordWrap w:val="0"/>
        <w:spacing w:before="0" w:beforeAutospacing="0" w:after="0" w:afterAutospacing="0" w:line="600" w:lineRule="atLeast"/>
        <w:ind w:firstLine="645"/>
        <w:rPr>
          <w:rFonts w:ascii="Arial" w:hAnsi="Arial" w:cs="Arial"/>
          <w:color w:val="040404"/>
          <w:sz w:val="27"/>
          <w:szCs w:val="27"/>
        </w:rPr>
      </w:pPr>
      <w:r>
        <w:rPr>
          <w:rFonts w:ascii="Arial" w:hAnsi="Arial" w:cs="Arial"/>
          <w:color w:val="040404"/>
          <w:sz w:val="32"/>
          <w:szCs w:val="32"/>
        </w:rPr>
        <w:t>（</w:t>
      </w:r>
      <w:r>
        <w:rPr>
          <w:rFonts w:ascii="Arial" w:hAnsi="Arial" w:cs="Arial"/>
          <w:color w:val="040404"/>
          <w:sz w:val="36"/>
          <w:szCs w:val="36"/>
        </w:rPr>
        <w:t>三</w:t>
      </w:r>
      <w:r>
        <w:rPr>
          <w:rFonts w:ascii="Arial" w:hAnsi="Arial" w:cs="Arial"/>
          <w:color w:val="040404"/>
          <w:sz w:val="32"/>
          <w:szCs w:val="32"/>
        </w:rPr>
        <w:t>）党建活动资金支付，应当执行国库集中支付和公务卡管理有关制度规定。</w:t>
      </w:r>
    </w:p>
    <w:p>
      <w:pPr>
        <w:pStyle w:val="3"/>
        <w:shd w:val="clear" w:color="auto" w:fill="FFFFFF"/>
        <w:wordWrap w:val="0"/>
        <w:spacing w:before="0" w:beforeAutospacing="0" w:after="0" w:afterAutospacing="0" w:line="600" w:lineRule="atLeast"/>
        <w:ind w:firstLine="645"/>
        <w:jc w:val="right"/>
        <w:rPr>
          <w:rFonts w:ascii="Arial" w:hAnsi="Arial" w:cs="Arial"/>
          <w:color w:val="040404"/>
          <w:sz w:val="27"/>
          <w:szCs w:val="27"/>
        </w:rPr>
      </w:pPr>
      <w:r>
        <w:rPr>
          <w:rFonts w:ascii="Arial" w:hAnsi="Arial" w:cs="Arial"/>
          <w:color w:val="040404"/>
          <w:sz w:val="32"/>
          <w:szCs w:val="32"/>
        </w:rPr>
        <w:t> </w:t>
      </w:r>
    </w:p>
    <w:p>
      <w:pPr>
        <w:pStyle w:val="3"/>
        <w:shd w:val="clear" w:color="auto" w:fill="FFFFFF"/>
        <w:wordWrap w:val="0"/>
        <w:spacing w:before="0" w:beforeAutospacing="0" w:after="0" w:afterAutospacing="0" w:line="600" w:lineRule="atLeast"/>
        <w:ind w:firstLine="645"/>
        <w:jc w:val="right"/>
        <w:rPr>
          <w:rFonts w:ascii="Arial" w:hAnsi="Arial" w:cs="Arial"/>
          <w:color w:val="040404"/>
          <w:sz w:val="27"/>
          <w:szCs w:val="27"/>
        </w:rPr>
      </w:pPr>
      <w:r>
        <w:rPr>
          <w:rFonts w:ascii="Arial" w:hAnsi="Arial" w:cs="Arial"/>
          <w:color w:val="040404"/>
          <w:sz w:val="32"/>
          <w:szCs w:val="32"/>
        </w:rPr>
        <w:t>浙江大学党委组织部、计划财务处</w:t>
      </w:r>
    </w:p>
    <w:p>
      <w:pPr>
        <w:pStyle w:val="3"/>
        <w:shd w:val="clear" w:color="auto" w:fill="FFFFFF"/>
        <w:wordWrap w:val="0"/>
        <w:spacing w:before="0" w:beforeAutospacing="0" w:after="0" w:afterAutospacing="0" w:line="600" w:lineRule="atLeast"/>
        <w:ind w:firstLine="645"/>
        <w:jc w:val="right"/>
        <w:rPr>
          <w:rFonts w:ascii="Arial" w:hAnsi="Arial" w:cs="Arial"/>
          <w:color w:val="040404"/>
          <w:sz w:val="27"/>
          <w:szCs w:val="27"/>
        </w:rPr>
      </w:pPr>
      <w:r>
        <w:rPr>
          <w:rFonts w:ascii="Arial" w:hAnsi="Arial" w:cs="Arial"/>
          <w:color w:val="040404"/>
          <w:sz w:val="32"/>
          <w:szCs w:val="32"/>
        </w:rPr>
        <w:t>2018年4月3日</w:t>
      </w:r>
    </w:p>
    <w:p>
      <w:pPr>
        <w:widowControl/>
        <w:shd w:val="clear" w:color="auto" w:fill="FFFFFF"/>
        <w:spacing w:line="600" w:lineRule="atLeast"/>
        <w:jc w:val="center"/>
        <w:outlineLvl w:val="1"/>
        <w:rPr>
          <w:rFonts w:hint="eastAsia" w:ascii="宋体" w:hAnsi="宋体" w:eastAsia="宋体" w:cs="宋体"/>
          <w:b/>
          <w:bCs/>
          <w:color w:val="040404"/>
          <w:kern w:val="0"/>
          <w:sz w:val="24"/>
          <w:szCs w:val="24"/>
        </w:rPr>
      </w:pPr>
    </w:p>
    <w:p>
      <w:pPr>
        <w:widowControl/>
        <w:shd w:val="clear" w:color="auto" w:fill="FFFFFF"/>
        <w:spacing w:line="600" w:lineRule="atLeast"/>
        <w:jc w:val="center"/>
        <w:outlineLvl w:val="1"/>
        <w:rPr>
          <w:rFonts w:hint="eastAsia" w:ascii="宋体" w:hAnsi="宋体" w:eastAsia="宋体" w:cs="宋体"/>
          <w:b/>
          <w:bCs/>
          <w:color w:val="040404"/>
          <w:kern w:val="0"/>
          <w:sz w:val="24"/>
          <w:szCs w:val="24"/>
        </w:rPr>
      </w:pPr>
    </w:p>
    <w:p>
      <w:pPr>
        <w:spacing w:line="360" w:lineRule="auto"/>
        <w:rPr>
          <w:rFonts w:ascii="仿宋_GB2312" w:eastAsia="仿宋_GB2312"/>
          <w:sz w:val="28"/>
          <w:szCs w:val="28"/>
        </w:rPr>
      </w:pPr>
      <w:r>
        <w:rPr>
          <w:rFonts w:hint="eastAsia" w:ascii="仿宋_GB2312" w:eastAsia="仿宋_GB2312"/>
          <w:sz w:val="28"/>
          <w:szCs w:val="28"/>
        </w:rPr>
        <w:t>附件：</w:t>
      </w:r>
    </w:p>
    <w:p>
      <w:pPr>
        <w:jc w:val="center"/>
        <w:rPr>
          <w:rFonts w:ascii="方正小标宋简体" w:eastAsia="方正小标宋简体"/>
          <w:bCs/>
          <w:sz w:val="36"/>
          <w:szCs w:val="36"/>
        </w:rPr>
      </w:pPr>
      <w:r>
        <w:rPr>
          <w:rFonts w:hint="eastAsia" w:ascii="方正小标宋简体" w:eastAsia="方正小标宋简体"/>
          <w:bCs/>
          <w:sz w:val="36"/>
          <w:szCs w:val="36"/>
        </w:rPr>
        <w:t>浙江大学</w:t>
      </w:r>
      <w:r>
        <w:rPr>
          <w:rFonts w:hint="eastAsia" w:ascii="方正小标宋简体" w:eastAsia="方正小标宋简体"/>
          <w:sz w:val="36"/>
          <w:szCs w:val="36"/>
        </w:rPr>
        <w:t>党建活动经费</w:t>
      </w:r>
      <w:r>
        <w:rPr>
          <w:rFonts w:hint="eastAsia" w:ascii="方正小标宋简体" w:eastAsia="方正小标宋简体"/>
          <w:bCs/>
          <w:sz w:val="36"/>
          <w:szCs w:val="36"/>
        </w:rPr>
        <w:t>报销单</w:t>
      </w:r>
    </w:p>
    <w:p>
      <w:pPr>
        <w:jc w:val="center"/>
        <w:rPr>
          <w:b/>
          <w:bCs/>
          <w:sz w:val="36"/>
          <w:szCs w:val="36"/>
        </w:rPr>
      </w:pPr>
    </w:p>
    <w:p>
      <w:pPr>
        <w:ind w:right="420" w:firstLine="140" w:firstLineChars="50"/>
        <w:rPr>
          <w:bCs/>
          <w:sz w:val="28"/>
          <w:szCs w:val="28"/>
        </w:rPr>
      </w:pPr>
      <w:r>
        <w:rPr>
          <w:rFonts w:hint="eastAsia"/>
          <w:bCs/>
          <w:sz w:val="28"/>
          <w:szCs w:val="28"/>
        </w:rPr>
        <w:t>经费项目号码：                 时间：     年     月    日</w:t>
      </w:r>
    </w:p>
    <w:tbl>
      <w:tblPr>
        <w:tblStyle w:val="4"/>
        <w:tblW w:w="5000"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517"/>
        <w:gridCol w:w="2086"/>
        <w:gridCol w:w="1998"/>
        <w:gridCol w:w="1921"/>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6" w:hRule="atLeast"/>
        </w:trPr>
        <w:tc>
          <w:tcPr>
            <w:tcW w:w="1477" w:type="pct"/>
          </w:tcPr>
          <w:p>
            <w:pPr>
              <w:spacing w:before="156" w:beforeLines="50"/>
              <w:jc w:val="center"/>
              <w:rPr>
                <w:rFonts w:asciiTheme="minorEastAsia" w:hAnsiTheme="minorEastAsia"/>
                <w:caps/>
                <w:sz w:val="24"/>
                <w:szCs w:val="24"/>
              </w:rPr>
            </w:pPr>
            <w:r>
              <w:rPr>
                <w:rFonts w:hint="eastAsia" w:asciiTheme="minorEastAsia" w:hAnsiTheme="minorEastAsia"/>
                <w:caps/>
                <w:sz w:val="24"/>
                <w:szCs w:val="24"/>
              </w:rPr>
              <w:t>活 动 名 称</w:t>
            </w:r>
          </w:p>
        </w:tc>
        <w:tc>
          <w:tcPr>
            <w:tcW w:w="3523" w:type="pct"/>
            <w:gridSpan w:val="3"/>
          </w:tcPr>
          <w:p>
            <w:pPr>
              <w:jc w:val="center"/>
              <w:rPr>
                <w:rFonts w:asciiTheme="minorEastAsia" w:hAnsiTheme="minorEastAsia"/>
                <w:caps/>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center"/>
              <w:rPr>
                <w:rFonts w:asciiTheme="minorEastAsia" w:hAnsiTheme="minorEastAsia"/>
                <w:sz w:val="24"/>
                <w:szCs w:val="24"/>
              </w:rPr>
            </w:pPr>
            <w:r>
              <w:rPr>
                <w:rFonts w:hint="eastAsia" w:asciiTheme="minorEastAsia" w:hAnsiTheme="minorEastAsia"/>
                <w:sz w:val="24"/>
                <w:szCs w:val="24"/>
              </w:rPr>
              <w:t>主 办 支 部</w:t>
            </w:r>
          </w:p>
        </w:tc>
        <w:tc>
          <w:tcPr>
            <w:tcW w:w="1224" w:type="pct"/>
          </w:tcPr>
          <w:p>
            <w:pPr>
              <w:spacing w:before="156" w:beforeLines="50"/>
              <w:jc w:val="center"/>
              <w:rPr>
                <w:rFonts w:asciiTheme="minorEastAsia" w:hAnsiTheme="minorEastAsia"/>
                <w:b/>
                <w:bCs/>
                <w:kern w:val="44"/>
                <w:sz w:val="24"/>
                <w:szCs w:val="24"/>
              </w:rPr>
            </w:pPr>
          </w:p>
        </w:tc>
        <w:tc>
          <w:tcPr>
            <w:tcW w:w="1172" w:type="pct"/>
          </w:tcPr>
          <w:p>
            <w:pPr>
              <w:spacing w:before="156" w:beforeLines="50"/>
              <w:jc w:val="center"/>
              <w:rPr>
                <w:rFonts w:asciiTheme="minorEastAsia" w:hAnsiTheme="minorEastAsia"/>
                <w:sz w:val="24"/>
                <w:szCs w:val="24"/>
              </w:rPr>
            </w:pPr>
            <w:r>
              <w:rPr>
                <w:rFonts w:hint="eastAsia" w:asciiTheme="minorEastAsia" w:hAnsiTheme="minorEastAsia"/>
                <w:sz w:val="24"/>
                <w:szCs w:val="24"/>
              </w:rPr>
              <w:t>参 加 人 数</w:t>
            </w:r>
          </w:p>
        </w:tc>
        <w:tc>
          <w:tcPr>
            <w:tcW w:w="1126" w:type="pct"/>
          </w:tcPr>
          <w:p>
            <w:pPr>
              <w:spacing w:before="156" w:beforeLines="50"/>
              <w:jc w:val="center"/>
              <w:rPr>
                <w:rFonts w:asciiTheme="minorEastAsia" w:hAnsiTheme="minorEastAsia"/>
                <w:b/>
                <w:bCs/>
                <w:kern w:val="44"/>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center"/>
              <w:rPr>
                <w:rFonts w:asciiTheme="minorEastAsia" w:hAnsiTheme="minorEastAsia"/>
                <w:sz w:val="24"/>
                <w:szCs w:val="24"/>
              </w:rPr>
            </w:pPr>
            <w:r>
              <w:rPr>
                <w:rFonts w:hint="eastAsia" w:asciiTheme="minorEastAsia" w:hAnsiTheme="minorEastAsia"/>
                <w:sz w:val="24"/>
                <w:szCs w:val="24"/>
              </w:rPr>
              <w:t>活 动 日 期</w:t>
            </w:r>
          </w:p>
        </w:tc>
        <w:tc>
          <w:tcPr>
            <w:tcW w:w="1224" w:type="pct"/>
          </w:tcPr>
          <w:p>
            <w:pPr>
              <w:spacing w:before="156" w:beforeLines="50"/>
              <w:jc w:val="center"/>
              <w:rPr>
                <w:rFonts w:asciiTheme="minorEastAsia" w:hAnsiTheme="minorEastAsia"/>
                <w:b/>
                <w:bCs/>
                <w:kern w:val="44"/>
                <w:sz w:val="24"/>
                <w:szCs w:val="24"/>
              </w:rPr>
            </w:pPr>
          </w:p>
        </w:tc>
        <w:tc>
          <w:tcPr>
            <w:tcW w:w="1172" w:type="pct"/>
          </w:tcPr>
          <w:p>
            <w:pPr>
              <w:spacing w:before="156" w:beforeLines="50"/>
              <w:jc w:val="center"/>
              <w:rPr>
                <w:rFonts w:asciiTheme="minorEastAsia" w:hAnsiTheme="minorEastAsia"/>
                <w:color w:val="000000"/>
                <w:sz w:val="24"/>
                <w:szCs w:val="24"/>
              </w:rPr>
            </w:pPr>
            <w:r>
              <w:rPr>
                <w:rFonts w:hint="eastAsia" w:asciiTheme="minorEastAsia" w:hAnsiTheme="minorEastAsia"/>
                <w:color w:val="000000"/>
                <w:sz w:val="24"/>
                <w:szCs w:val="24"/>
              </w:rPr>
              <w:t>活 动 地 点</w:t>
            </w:r>
          </w:p>
        </w:tc>
        <w:tc>
          <w:tcPr>
            <w:tcW w:w="1126" w:type="pct"/>
          </w:tcPr>
          <w:p>
            <w:pPr>
              <w:spacing w:before="156" w:beforeLines="50"/>
              <w:jc w:val="center"/>
              <w:rPr>
                <w:rFonts w:asciiTheme="minorEastAsia" w:hAnsiTheme="minorEastAsia"/>
                <w:b/>
                <w:bCs/>
                <w:kern w:val="44"/>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center"/>
              <w:rPr>
                <w:rFonts w:asciiTheme="minorEastAsia" w:hAnsiTheme="minorEastAsia"/>
                <w:sz w:val="24"/>
                <w:szCs w:val="24"/>
              </w:rPr>
            </w:pPr>
            <w:r>
              <w:rPr>
                <w:rFonts w:hint="eastAsia" w:asciiTheme="minorEastAsia" w:hAnsiTheme="minorEastAsia"/>
                <w:sz w:val="24"/>
                <w:szCs w:val="24"/>
              </w:rPr>
              <w:t>支 出 内 容</w:t>
            </w:r>
          </w:p>
        </w:tc>
        <w:tc>
          <w:tcPr>
            <w:tcW w:w="1224" w:type="pct"/>
          </w:tcPr>
          <w:p>
            <w:pPr>
              <w:spacing w:before="156" w:beforeLines="50"/>
              <w:jc w:val="center"/>
              <w:rPr>
                <w:rFonts w:asciiTheme="minorEastAsia" w:hAnsiTheme="minorEastAsia"/>
                <w:sz w:val="24"/>
                <w:szCs w:val="24"/>
              </w:rPr>
            </w:pPr>
            <w:r>
              <w:rPr>
                <w:rFonts w:hint="eastAsia" w:asciiTheme="minorEastAsia" w:hAnsiTheme="minorEastAsia"/>
                <w:sz w:val="24"/>
                <w:szCs w:val="24"/>
              </w:rPr>
              <w:t>金  额</w:t>
            </w:r>
          </w:p>
        </w:tc>
        <w:tc>
          <w:tcPr>
            <w:tcW w:w="1172" w:type="pct"/>
          </w:tcPr>
          <w:p>
            <w:pPr>
              <w:spacing w:before="156" w:beforeLines="50"/>
              <w:jc w:val="center"/>
              <w:rPr>
                <w:rFonts w:asciiTheme="minorEastAsia" w:hAnsiTheme="minorEastAsia"/>
                <w:sz w:val="24"/>
                <w:szCs w:val="24"/>
              </w:rPr>
            </w:pPr>
            <w:r>
              <w:rPr>
                <w:rFonts w:hint="eastAsia" w:asciiTheme="minorEastAsia" w:hAnsiTheme="minorEastAsia"/>
                <w:sz w:val="24"/>
                <w:szCs w:val="24"/>
              </w:rPr>
              <w:t>核 销 金 额</w:t>
            </w:r>
          </w:p>
        </w:tc>
        <w:tc>
          <w:tcPr>
            <w:tcW w:w="1126" w:type="pct"/>
          </w:tcPr>
          <w:p>
            <w:pPr>
              <w:spacing w:before="156" w:beforeLines="50"/>
              <w:jc w:val="center"/>
              <w:rPr>
                <w:rFonts w:asciiTheme="minorEastAsia" w:hAnsiTheme="minorEastAsia"/>
                <w:sz w:val="24"/>
                <w:szCs w:val="24"/>
              </w:rPr>
            </w:pPr>
            <w:r>
              <w:rPr>
                <w:rFonts w:hint="eastAsia" w:asciiTheme="minorEastAsia" w:hAnsiTheme="minorEastAsia"/>
                <w:sz w:val="24"/>
                <w:szCs w:val="24"/>
              </w:rPr>
              <w:t>备  注</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numPr>
                <w:ilvl w:val="0"/>
                <w:numId w:val="1"/>
              </w:numPr>
              <w:spacing w:before="156" w:beforeLines="50"/>
              <w:jc w:val="left"/>
              <w:rPr>
                <w:rFonts w:asciiTheme="minorEastAsia" w:hAnsiTheme="minorEastAsia"/>
                <w:sz w:val="24"/>
                <w:szCs w:val="24"/>
              </w:rPr>
            </w:pPr>
            <w:r>
              <w:rPr>
                <w:rFonts w:hint="eastAsia" w:asciiTheme="minorEastAsia" w:hAnsiTheme="minorEastAsia"/>
                <w:sz w:val="24"/>
                <w:szCs w:val="24"/>
              </w:rPr>
              <w:t>租车费</w:t>
            </w: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left"/>
              <w:rPr>
                <w:rFonts w:asciiTheme="minorEastAsia" w:hAnsiTheme="minorEastAsia"/>
                <w:sz w:val="24"/>
                <w:szCs w:val="24"/>
              </w:rPr>
            </w:pPr>
            <w:r>
              <w:rPr>
                <w:rFonts w:hint="eastAsia" w:asciiTheme="minorEastAsia" w:hAnsiTheme="minorEastAsia"/>
                <w:sz w:val="24"/>
                <w:szCs w:val="24"/>
              </w:rPr>
              <w:t>2. 城市间交通费</w:t>
            </w: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left"/>
              <w:rPr>
                <w:rFonts w:asciiTheme="minorEastAsia" w:hAnsiTheme="minorEastAsia"/>
                <w:sz w:val="24"/>
                <w:szCs w:val="24"/>
              </w:rPr>
            </w:pPr>
            <w:r>
              <w:rPr>
                <w:rFonts w:hint="eastAsia" w:asciiTheme="minorEastAsia" w:hAnsiTheme="minorEastAsia"/>
                <w:sz w:val="24"/>
                <w:szCs w:val="24"/>
              </w:rPr>
              <w:t>3. 伙食费</w:t>
            </w: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left"/>
              <w:rPr>
                <w:rFonts w:asciiTheme="minorEastAsia" w:hAnsiTheme="minorEastAsia"/>
                <w:sz w:val="24"/>
                <w:szCs w:val="24"/>
              </w:rPr>
            </w:pPr>
            <w:r>
              <w:rPr>
                <w:rFonts w:hint="eastAsia" w:asciiTheme="minorEastAsia" w:hAnsiTheme="minorEastAsia"/>
                <w:sz w:val="24"/>
                <w:szCs w:val="24"/>
              </w:rPr>
              <w:t>4. 住宿费</w:t>
            </w: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left"/>
              <w:rPr>
                <w:rFonts w:asciiTheme="minorEastAsia" w:hAnsiTheme="minorEastAsia"/>
                <w:sz w:val="24"/>
                <w:szCs w:val="24"/>
              </w:rPr>
            </w:pPr>
            <w:r>
              <w:rPr>
                <w:rFonts w:hint="eastAsia" w:asciiTheme="minorEastAsia" w:hAnsiTheme="minorEastAsia"/>
                <w:sz w:val="24"/>
                <w:szCs w:val="24"/>
              </w:rPr>
              <w:t>5. 场租费</w:t>
            </w: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left"/>
              <w:rPr>
                <w:rFonts w:asciiTheme="minorEastAsia" w:hAnsiTheme="minorEastAsia"/>
                <w:sz w:val="24"/>
                <w:szCs w:val="24"/>
              </w:rPr>
            </w:pPr>
            <w:r>
              <w:rPr>
                <w:rFonts w:hint="eastAsia" w:asciiTheme="minorEastAsia" w:hAnsiTheme="minorEastAsia"/>
                <w:sz w:val="24"/>
                <w:szCs w:val="24"/>
              </w:rPr>
              <w:t>6. 讲课费</w:t>
            </w: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left"/>
              <w:rPr>
                <w:rFonts w:asciiTheme="minorEastAsia" w:hAnsiTheme="minorEastAsia"/>
                <w:sz w:val="24"/>
                <w:szCs w:val="24"/>
              </w:rPr>
            </w:pPr>
            <w:r>
              <w:rPr>
                <w:rFonts w:hint="eastAsia" w:asciiTheme="minorEastAsia" w:hAnsiTheme="minorEastAsia"/>
                <w:sz w:val="24"/>
                <w:szCs w:val="24"/>
              </w:rPr>
              <w:t>7. 资料费</w:t>
            </w: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left"/>
              <w:rPr>
                <w:rFonts w:asciiTheme="minorEastAsia" w:hAnsiTheme="minorEastAsia"/>
                <w:sz w:val="24"/>
                <w:szCs w:val="24"/>
              </w:rPr>
            </w:pPr>
            <w:r>
              <w:rPr>
                <w:rFonts w:hint="eastAsia" w:asciiTheme="minorEastAsia" w:hAnsiTheme="minorEastAsia"/>
                <w:sz w:val="24"/>
                <w:szCs w:val="24"/>
              </w:rPr>
              <w:t>8. 其他</w:t>
            </w: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center"/>
              <w:rPr>
                <w:rFonts w:asciiTheme="minorEastAsia" w:hAnsiTheme="minorEastAsia"/>
                <w:sz w:val="24"/>
                <w:szCs w:val="24"/>
              </w:rPr>
            </w:pP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center"/>
              <w:rPr>
                <w:rFonts w:asciiTheme="minorEastAsia" w:hAnsiTheme="minorEastAsia"/>
                <w:sz w:val="24"/>
                <w:szCs w:val="24"/>
              </w:rPr>
            </w:pPr>
          </w:p>
        </w:tc>
        <w:tc>
          <w:tcPr>
            <w:tcW w:w="1224" w:type="pct"/>
          </w:tcPr>
          <w:p>
            <w:pPr>
              <w:spacing w:before="156" w:beforeLines="50"/>
              <w:jc w:val="center"/>
              <w:rPr>
                <w:rFonts w:asciiTheme="minorEastAsia" w:hAnsiTheme="minorEastAsia"/>
                <w:sz w:val="24"/>
                <w:szCs w:val="24"/>
              </w:rPr>
            </w:pPr>
          </w:p>
        </w:tc>
        <w:tc>
          <w:tcPr>
            <w:tcW w:w="1172" w:type="pct"/>
          </w:tcPr>
          <w:p>
            <w:pPr>
              <w:spacing w:before="156" w:beforeLines="50"/>
              <w:jc w:val="center"/>
              <w:rPr>
                <w:rFonts w:asciiTheme="minorEastAsia" w:hAnsiTheme="minorEastAsia"/>
                <w:sz w:val="24"/>
                <w:szCs w:val="24"/>
              </w:rPr>
            </w:pPr>
          </w:p>
        </w:tc>
        <w:tc>
          <w:tcPr>
            <w:tcW w:w="1126" w:type="pct"/>
          </w:tcPr>
          <w:p>
            <w:pPr>
              <w:spacing w:before="156" w:beforeLines="50"/>
              <w:jc w:val="center"/>
              <w:rPr>
                <w:rFonts w:asciiTheme="minorEastAsia" w:hAnsiTheme="minorEastAsia"/>
                <w:sz w:val="24"/>
                <w:szCs w:val="24"/>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06" w:hRule="atLeast"/>
        </w:trPr>
        <w:tc>
          <w:tcPr>
            <w:tcW w:w="1477" w:type="pct"/>
          </w:tcPr>
          <w:p>
            <w:pPr>
              <w:spacing w:before="156" w:beforeLines="50"/>
              <w:jc w:val="center"/>
              <w:rPr>
                <w:rFonts w:asciiTheme="minorEastAsia" w:hAnsiTheme="minorEastAsia"/>
                <w:sz w:val="24"/>
                <w:szCs w:val="24"/>
              </w:rPr>
            </w:pPr>
            <w:r>
              <w:rPr>
                <w:rFonts w:hint="eastAsia" w:asciiTheme="minorEastAsia" w:hAnsiTheme="minorEastAsia"/>
                <w:sz w:val="24"/>
                <w:szCs w:val="24"/>
              </w:rPr>
              <w:t>合    计</w:t>
            </w:r>
          </w:p>
        </w:tc>
        <w:tc>
          <w:tcPr>
            <w:tcW w:w="1224" w:type="pct"/>
          </w:tcPr>
          <w:p>
            <w:pPr>
              <w:spacing w:before="156" w:beforeLines="50"/>
              <w:jc w:val="center"/>
              <w:rPr>
                <w:rFonts w:asciiTheme="minorEastAsia" w:hAnsiTheme="minorEastAsia"/>
                <w:b/>
                <w:bCs/>
                <w:kern w:val="44"/>
                <w:sz w:val="24"/>
                <w:szCs w:val="24"/>
              </w:rPr>
            </w:pPr>
          </w:p>
        </w:tc>
        <w:tc>
          <w:tcPr>
            <w:tcW w:w="1172" w:type="pct"/>
          </w:tcPr>
          <w:p>
            <w:pPr>
              <w:spacing w:before="156" w:beforeLines="50"/>
              <w:jc w:val="center"/>
              <w:rPr>
                <w:rFonts w:asciiTheme="minorEastAsia" w:hAnsiTheme="minorEastAsia"/>
                <w:b/>
                <w:bCs/>
                <w:kern w:val="44"/>
                <w:sz w:val="24"/>
                <w:szCs w:val="24"/>
              </w:rPr>
            </w:pPr>
          </w:p>
        </w:tc>
        <w:tc>
          <w:tcPr>
            <w:tcW w:w="1126" w:type="pct"/>
          </w:tcPr>
          <w:p>
            <w:pPr>
              <w:spacing w:before="156" w:beforeLines="50"/>
              <w:jc w:val="center"/>
              <w:rPr>
                <w:rFonts w:asciiTheme="minorEastAsia" w:hAnsiTheme="minorEastAsia"/>
                <w:b/>
                <w:bCs/>
                <w:kern w:val="44"/>
                <w:sz w:val="24"/>
                <w:szCs w:val="24"/>
              </w:rPr>
            </w:pPr>
          </w:p>
        </w:tc>
      </w:tr>
    </w:tbl>
    <w:p>
      <w:pPr>
        <w:tabs>
          <w:tab w:val="left" w:pos="2940"/>
          <w:tab w:val="left" w:pos="3360"/>
        </w:tabs>
        <w:rPr>
          <w:b/>
          <w:bCs/>
          <w:sz w:val="24"/>
          <w:szCs w:val="24"/>
        </w:rPr>
      </w:pPr>
    </w:p>
    <w:p>
      <w:pPr>
        <w:tabs>
          <w:tab w:val="left" w:pos="2940"/>
          <w:tab w:val="left" w:pos="3360"/>
        </w:tabs>
        <w:rPr>
          <w:b/>
          <w:bCs/>
        </w:rPr>
      </w:pPr>
      <w:r>
        <w:rPr>
          <w:rFonts w:hint="eastAsia"/>
          <w:b/>
          <w:bCs/>
          <w:sz w:val="24"/>
          <w:szCs w:val="24"/>
        </w:rPr>
        <w:t>党组织主要负责人（签字）：                  经办人（签字</w:t>
      </w:r>
      <w:r>
        <w:rPr>
          <w:rFonts w:hint="eastAsia"/>
          <w:b/>
          <w:bCs/>
        </w:rPr>
        <w:t xml:space="preserve"> ）：</w:t>
      </w:r>
    </w:p>
    <w:p>
      <w:pPr>
        <w:rPr>
          <w:b/>
          <w:bCs/>
          <w:sz w:val="24"/>
        </w:rPr>
      </w:pPr>
      <w:r>
        <w:rPr>
          <w:rFonts w:hint="eastAsia"/>
          <w:b/>
          <w:bCs/>
          <w:sz w:val="24"/>
        </w:rPr>
        <w:t xml:space="preserve">                                              </w:t>
      </w:r>
    </w:p>
    <w:p>
      <w:pPr>
        <w:rPr>
          <w:b/>
          <w:bCs/>
          <w:sz w:val="24"/>
          <w:szCs w:val="24"/>
        </w:rPr>
      </w:pPr>
      <w:r>
        <w:rPr>
          <w:rFonts w:hint="eastAsia"/>
          <w:b/>
          <w:bCs/>
          <w:sz w:val="24"/>
          <w:szCs w:val="24"/>
        </w:rPr>
        <w:t>（党组织公章）：</w:t>
      </w:r>
    </w:p>
    <w:p>
      <w:pPr>
        <w:rPr>
          <w:b/>
          <w:bCs/>
          <w:sz w:val="24"/>
        </w:rPr>
      </w:pPr>
    </w:p>
    <w:p>
      <w:pPr>
        <w:rPr>
          <w:b/>
          <w:bCs/>
          <w:sz w:val="24"/>
        </w:rPr>
      </w:pPr>
      <w:r>
        <w:rPr>
          <w:rFonts w:hint="eastAsia"/>
          <w:b/>
          <w:bCs/>
          <w:sz w:val="24"/>
        </w:rPr>
        <w:t>备注：附活动方案（或通知）、活动总结等相关材料。</w:t>
      </w:r>
    </w:p>
    <w:p>
      <w:pPr>
        <w:spacing w:line="360" w:lineRule="auto"/>
        <w:ind w:firstLine="560" w:firstLineChars="200"/>
        <w:rPr>
          <w:rFonts w:ascii="仿宋_GB2312" w:eastAsia="仿宋_GB2312"/>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方正舒体"/>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A650E2"/>
    <w:multiLevelType w:val="multilevel"/>
    <w:tmpl w:val="06A650E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I4ZGNlZmE2OTJkNmYxYTJiMzBkYjY3NDBiZTdhNjAifQ=="/>
  </w:docVars>
  <w:rsids>
    <w:rsidRoot w:val="00E93F98"/>
    <w:rsid w:val="00000AC6"/>
    <w:rsid w:val="00001AD6"/>
    <w:rsid w:val="000A73DE"/>
    <w:rsid w:val="000B0E31"/>
    <w:rsid w:val="000E3CC6"/>
    <w:rsid w:val="000E7E4B"/>
    <w:rsid w:val="00111A2F"/>
    <w:rsid w:val="00127E3F"/>
    <w:rsid w:val="001A0776"/>
    <w:rsid w:val="001B753D"/>
    <w:rsid w:val="001C32E8"/>
    <w:rsid w:val="00213570"/>
    <w:rsid w:val="002169FE"/>
    <w:rsid w:val="00250E01"/>
    <w:rsid w:val="00284955"/>
    <w:rsid w:val="002863DE"/>
    <w:rsid w:val="002A3936"/>
    <w:rsid w:val="002D1E16"/>
    <w:rsid w:val="002E26A3"/>
    <w:rsid w:val="002E3D40"/>
    <w:rsid w:val="002E68D5"/>
    <w:rsid w:val="003013BC"/>
    <w:rsid w:val="00321D0F"/>
    <w:rsid w:val="003312F4"/>
    <w:rsid w:val="00360069"/>
    <w:rsid w:val="003617BD"/>
    <w:rsid w:val="00381A01"/>
    <w:rsid w:val="0039247A"/>
    <w:rsid w:val="003938B1"/>
    <w:rsid w:val="003C63AE"/>
    <w:rsid w:val="003D617A"/>
    <w:rsid w:val="003E0376"/>
    <w:rsid w:val="00436082"/>
    <w:rsid w:val="00451887"/>
    <w:rsid w:val="00454C91"/>
    <w:rsid w:val="00487919"/>
    <w:rsid w:val="004F5CC0"/>
    <w:rsid w:val="0052344B"/>
    <w:rsid w:val="005400B5"/>
    <w:rsid w:val="0059501B"/>
    <w:rsid w:val="005A155A"/>
    <w:rsid w:val="005A7118"/>
    <w:rsid w:val="005B40AF"/>
    <w:rsid w:val="005B7387"/>
    <w:rsid w:val="005F5D1A"/>
    <w:rsid w:val="00611CE7"/>
    <w:rsid w:val="00636E4D"/>
    <w:rsid w:val="00657DC1"/>
    <w:rsid w:val="006808C7"/>
    <w:rsid w:val="00694287"/>
    <w:rsid w:val="006C0643"/>
    <w:rsid w:val="006E6A18"/>
    <w:rsid w:val="006F12E8"/>
    <w:rsid w:val="00787DF3"/>
    <w:rsid w:val="007A065B"/>
    <w:rsid w:val="007A1A5C"/>
    <w:rsid w:val="007A3EF9"/>
    <w:rsid w:val="007D0F04"/>
    <w:rsid w:val="00830D01"/>
    <w:rsid w:val="008B102A"/>
    <w:rsid w:val="008D2841"/>
    <w:rsid w:val="008E6215"/>
    <w:rsid w:val="0090059D"/>
    <w:rsid w:val="00901EB6"/>
    <w:rsid w:val="00924663"/>
    <w:rsid w:val="00943294"/>
    <w:rsid w:val="00944AB5"/>
    <w:rsid w:val="0096132D"/>
    <w:rsid w:val="009A5A44"/>
    <w:rsid w:val="009C39CB"/>
    <w:rsid w:val="009C795E"/>
    <w:rsid w:val="009D082E"/>
    <w:rsid w:val="009D5DDB"/>
    <w:rsid w:val="009E3FEA"/>
    <w:rsid w:val="00A014A1"/>
    <w:rsid w:val="00A023C9"/>
    <w:rsid w:val="00A34333"/>
    <w:rsid w:val="00A91436"/>
    <w:rsid w:val="00A93F86"/>
    <w:rsid w:val="00AA58D9"/>
    <w:rsid w:val="00AB32EC"/>
    <w:rsid w:val="00AC7237"/>
    <w:rsid w:val="00AC77D7"/>
    <w:rsid w:val="00B07C8E"/>
    <w:rsid w:val="00B14266"/>
    <w:rsid w:val="00B232B6"/>
    <w:rsid w:val="00B41A97"/>
    <w:rsid w:val="00B52B7A"/>
    <w:rsid w:val="00B56D52"/>
    <w:rsid w:val="00BF268B"/>
    <w:rsid w:val="00C2365E"/>
    <w:rsid w:val="00C2484D"/>
    <w:rsid w:val="00C359D7"/>
    <w:rsid w:val="00C4042F"/>
    <w:rsid w:val="00C5643A"/>
    <w:rsid w:val="00C56F20"/>
    <w:rsid w:val="00C619AF"/>
    <w:rsid w:val="00C71BE5"/>
    <w:rsid w:val="00CA48B0"/>
    <w:rsid w:val="00CB06B2"/>
    <w:rsid w:val="00D12563"/>
    <w:rsid w:val="00D42ADA"/>
    <w:rsid w:val="00D437D8"/>
    <w:rsid w:val="00D47135"/>
    <w:rsid w:val="00D8655E"/>
    <w:rsid w:val="00D928DA"/>
    <w:rsid w:val="00E021AC"/>
    <w:rsid w:val="00E42693"/>
    <w:rsid w:val="00E45500"/>
    <w:rsid w:val="00E71902"/>
    <w:rsid w:val="00E93F98"/>
    <w:rsid w:val="00ED0E7C"/>
    <w:rsid w:val="00ED7B55"/>
    <w:rsid w:val="00EE17DC"/>
    <w:rsid w:val="00EE5398"/>
    <w:rsid w:val="00F206C1"/>
    <w:rsid w:val="00F32B9E"/>
    <w:rsid w:val="00F35D44"/>
    <w:rsid w:val="00F539E6"/>
    <w:rsid w:val="00F60880"/>
    <w:rsid w:val="00F77D4F"/>
    <w:rsid w:val="00F82AC2"/>
    <w:rsid w:val="00F84001"/>
    <w:rsid w:val="00F91B3D"/>
    <w:rsid w:val="00FC2DC2"/>
    <w:rsid w:val="00FD0818"/>
    <w:rsid w:val="00FE0074"/>
    <w:rsid w:val="00FE1585"/>
    <w:rsid w:val="00FE4C0F"/>
    <w:rsid w:val="6DFF17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6"/>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6">
    <w:name w:val="标题 2 Char"/>
    <w:basedOn w:val="5"/>
    <w:link w:val="2"/>
    <w:qFormat/>
    <w:uiPriority w:val="9"/>
    <w:rPr>
      <w:rFonts w:ascii="宋体" w:hAnsi="宋体" w:eastAsia="宋体" w:cs="宋体"/>
      <w:b/>
      <w:bCs/>
      <w:kern w:val="0"/>
      <w:sz w:val="36"/>
      <w:szCs w:val="36"/>
    </w:rPr>
  </w:style>
  <w:style w:type="character" w:customStyle="1" w:styleId="7">
    <w:name w:val="apple-converted-space"/>
    <w:basedOn w:val="5"/>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1572</Words>
  <Characters>1622</Characters>
  <Lines>13</Lines>
  <Paragraphs>3</Paragraphs>
  <TotalTime>7</TotalTime>
  <ScaleCrop>false</ScaleCrop>
  <LinksUpToDate>false</LinksUpToDate>
  <CharactersWithSpaces>1771</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2018-04-12T01:05:00Z</dcterms:created>
  <dc:creator>周莉</dc:creator>
  <cp:lastModifiedBy>骨朵</cp:lastModifiedBy>
  <dcterms:modified xsi:type="dcterms:W3CDTF">2022-12-29T11:56:28Z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99555AACAFE54DBEB6C370C2879D7F5D</vt:lpwstr>
  </property>
</Properties>
</file>